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276"/>
        <w:gridCol w:w="1842"/>
        <w:gridCol w:w="1560"/>
        <w:gridCol w:w="1984"/>
        <w:gridCol w:w="1843"/>
        <w:gridCol w:w="2551"/>
        <w:gridCol w:w="2552"/>
      </w:tblGrid>
      <w:tr w:rsidR="002E1F0B" w:rsidRPr="00FF7293" w:rsidTr="0011729A">
        <w:trPr>
          <w:trHeight w:val="246"/>
        </w:trPr>
        <w:tc>
          <w:tcPr>
            <w:tcW w:w="3261" w:type="dxa"/>
            <w:gridSpan w:val="3"/>
            <w:shd w:val="clear" w:color="auto" w:fill="B8CCE4"/>
          </w:tcPr>
          <w:p w:rsidR="002E1F0B" w:rsidRPr="00111237" w:rsidRDefault="002E1F0B" w:rsidP="001E3C44">
            <w:pPr>
              <w:keepNext/>
              <w:spacing w:before="40" w:after="40"/>
              <w:outlineLvl w:val="2"/>
              <w:rPr>
                <w:rFonts w:ascii="Arial" w:hAnsi="Arial" w:cs="Arial"/>
                <w:b/>
              </w:rPr>
            </w:pPr>
            <w:r w:rsidRPr="00111237">
              <w:rPr>
                <w:rFonts w:ascii="Arial" w:hAnsi="Arial" w:cs="Arial"/>
                <w:b/>
                <w:sz w:val="22"/>
                <w:szCs w:val="22"/>
              </w:rPr>
              <w:t>BADMINTON EN SIMPLE</w:t>
            </w:r>
          </w:p>
        </w:tc>
        <w:tc>
          <w:tcPr>
            <w:tcW w:w="12332" w:type="dxa"/>
            <w:gridSpan w:val="6"/>
            <w:vMerge w:val="restart"/>
          </w:tcPr>
          <w:p w:rsidR="002E1F0B" w:rsidRPr="00111237" w:rsidRDefault="002E1F0B" w:rsidP="001E3C44">
            <w:pPr>
              <w:keepNext/>
              <w:spacing w:before="40" w:after="40"/>
              <w:jc w:val="center"/>
              <w:outlineLvl w:val="1"/>
              <w:rPr>
                <w:rFonts w:ascii="Arial" w:hAnsi="Arial" w:cs="Arial"/>
                <w:b/>
              </w:rPr>
            </w:pPr>
            <w:r w:rsidRPr="00111237">
              <w:rPr>
                <w:rFonts w:ascii="Arial" w:hAnsi="Arial" w:cs="Arial"/>
                <w:b/>
                <w:caps/>
                <w:sz w:val="22"/>
                <w:szCs w:val="22"/>
              </w:rPr>
              <w:t>PRINCIPES D’ELABORATION DE L’EPREUVE</w:t>
            </w:r>
          </w:p>
        </w:tc>
      </w:tr>
      <w:tr w:rsidR="002E1F0B" w:rsidRPr="00FF7293" w:rsidTr="0011729A">
        <w:trPr>
          <w:trHeight w:val="83"/>
        </w:trPr>
        <w:tc>
          <w:tcPr>
            <w:tcW w:w="3261" w:type="dxa"/>
            <w:gridSpan w:val="3"/>
          </w:tcPr>
          <w:p w:rsidR="002E1F0B" w:rsidRPr="00B34557" w:rsidRDefault="002E1F0B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>COMPETENCE ATTENDUE</w:t>
            </w:r>
          </w:p>
        </w:tc>
        <w:tc>
          <w:tcPr>
            <w:tcW w:w="12332" w:type="dxa"/>
            <w:gridSpan w:val="6"/>
            <w:vMerge/>
          </w:tcPr>
          <w:p w:rsidR="002E1F0B" w:rsidRPr="00FF7293" w:rsidRDefault="002E1F0B" w:rsidP="001E3C4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</w:pPr>
          </w:p>
        </w:tc>
      </w:tr>
      <w:tr w:rsidR="002E1F0B" w:rsidRPr="00FF7293" w:rsidTr="0011729A">
        <w:trPr>
          <w:trHeight w:val="1083"/>
        </w:trPr>
        <w:tc>
          <w:tcPr>
            <w:tcW w:w="3261" w:type="dxa"/>
            <w:gridSpan w:val="3"/>
          </w:tcPr>
          <w:p w:rsidR="002E1F0B" w:rsidRPr="004A4048" w:rsidRDefault="002E1F0B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A4048">
              <w:rPr>
                <w:rFonts w:ascii="Arial" w:hAnsi="Arial" w:cs="Arial"/>
                <w:b/>
                <w:sz w:val="16"/>
                <w:szCs w:val="16"/>
              </w:rPr>
              <w:t xml:space="preserve">NIVEAU 4 : </w:t>
            </w:r>
          </w:p>
          <w:p w:rsidR="002E1F0B" w:rsidRPr="004A4048" w:rsidRDefault="00F8201C" w:rsidP="001E3C4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048">
              <w:rPr>
                <w:sz w:val="16"/>
                <w:szCs w:val="16"/>
              </w:rPr>
              <w:t>Pour gagner le match, faire des choix tactiques, et produire des frappes variées en direction, longueur et hauteur afin de faire évoluer le rapport de force en sa faveur</w:t>
            </w:r>
          </w:p>
        </w:tc>
        <w:tc>
          <w:tcPr>
            <w:tcW w:w="12332" w:type="dxa"/>
            <w:gridSpan w:val="6"/>
          </w:tcPr>
          <w:p w:rsidR="00F8201C" w:rsidRPr="004A4048" w:rsidRDefault="00F8201C" w:rsidP="00F8201C">
            <w:pPr>
              <w:rPr>
                <w:sz w:val="16"/>
                <w:szCs w:val="16"/>
              </w:rPr>
            </w:pPr>
            <w:r w:rsidRPr="004A4048">
              <w:rPr>
                <w:sz w:val="16"/>
                <w:szCs w:val="16"/>
              </w:rPr>
              <w:t xml:space="preserve">Les matchs se jouent en 2 sets gagnants de 11 points. Les règles sont celles du </w:t>
            </w:r>
            <w:proofErr w:type="spellStart"/>
            <w:r w:rsidRPr="004A4048">
              <w:rPr>
                <w:sz w:val="16"/>
                <w:szCs w:val="16"/>
              </w:rPr>
              <w:t>badminton.Chaque</w:t>
            </w:r>
            <w:proofErr w:type="spellEnd"/>
            <w:r w:rsidRPr="004A4048">
              <w:rPr>
                <w:sz w:val="16"/>
                <w:szCs w:val="16"/>
              </w:rPr>
              <w:t xml:space="preserve"> candidat(e) dispute plusieurs matchs contre des adversaires de niveau proche dans des poules homogènes. (rapport de force équilibré) mixte ou non </w:t>
            </w:r>
          </w:p>
          <w:p w:rsidR="00F8201C" w:rsidRPr="004A4048" w:rsidRDefault="00F8201C" w:rsidP="001E3C44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4A4048">
              <w:rPr>
                <w:sz w:val="16"/>
                <w:szCs w:val="16"/>
              </w:rPr>
              <w:t>Le positionnement du niveau de jeu du candidat :</w:t>
            </w:r>
          </w:p>
          <w:p w:rsidR="00F8201C" w:rsidRPr="004A4048" w:rsidRDefault="00F8201C" w:rsidP="001E3C44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4A4048">
              <w:rPr>
                <w:sz w:val="16"/>
                <w:szCs w:val="16"/>
              </w:rPr>
              <w:t>-(item 1 : Qualité des techniques au service de la tactique) est la 1ère étape de l’évaluation, déterminante pour la suite et l’attribution des pts.</w:t>
            </w:r>
          </w:p>
          <w:p w:rsidR="00F8201C" w:rsidRPr="004A4048" w:rsidRDefault="00F8201C" w:rsidP="00F8201C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4A4048">
              <w:rPr>
                <w:sz w:val="16"/>
                <w:szCs w:val="16"/>
              </w:rPr>
              <w:t>- (item 2) « La pertinence et l’efficacité des choix stratégiques dans la gestion du rapport de force » sera appréciée au regard de l’évolution du score entre les 2 sets de chaque match (1) avec une échelle de pts déterminée par le niveau de jeu du candidat(e) (ou de la poule), les pts étant répartis selon les 6 cas de figure répertoriés.</w:t>
            </w:r>
          </w:p>
          <w:p w:rsidR="00F8201C" w:rsidRPr="004A4048" w:rsidRDefault="00F8201C" w:rsidP="00F8201C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4A4048">
              <w:rPr>
                <w:sz w:val="16"/>
                <w:szCs w:val="16"/>
              </w:rPr>
              <w:t>- (item 3) « Le gain des matchs » sera apprécié à l’issue de l’ensemble des matchs. Là aussi, l’échelle de pts à attribuer est déterminée par le niveau de jeu identifié du candidat(e).</w:t>
            </w:r>
          </w:p>
          <w:p w:rsidR="00F8201C" w:rsidRPr="004A4048" w:rsidRDefault="00F8201C" w:rsidP="00F8201C">
            <w:pPr>
              <w:rPr>
                <w:sz w:val="16"/>
                <w:szCs w:val="16"/>
              </w:rPr>
            </w:pPr>
            <w:r w:rsidRPr="004A4048">
              <w:rPr>
                <w:sz w:val="16"/>
                <w:szCs w:val="16"/>
              </w:rPr>
              <w:t xml:space="preserve"> </w:t>
            </w:r>
            <w:r w:rsidRPr="004A4048">
              <w:rPr>
                <w:sz w:val="16"/>
                <w:szCs w:val="16"/>
                <w:u w:val="single"/>
              </w:rPr>
              <w:t>Des différences de jeu existent</w:t>
            </w:r>
            <w:r w:rsidRPr="004A4048">
              <w:rPr>
                <w:sz w:val="16"/>
                <w:szCs w:val="16"/>
              </w:rPr>
              <w:t> </w:t>
            </w:r>
            <w:proofErr w:type="gramStart"/>
            <w:r w:rsidRPr="004A4048">
              <w:rPr>
                <w:sz w:val="16"/>
                <w:szCs w:val="16"/>
              </w:rPr>
              <w:t>:L’évaluation</w:t>
            </w:r>
            <w:proofErr w:type="gramEnd"/>
            <w:r w:rsidRPr="004A4048">
              <w:rPr>
                <w:sz w:val="16"/>
                <w:szCs w:val="16"/>
              </w:rPr>
              <w:t xml:space="preserve"> se fera en appréciant et en évaluant :</w:t>
            </w:r>
          </w:p>
          <w:p w:rsidR="00F8201C" w:rsidRPr="004A4048" w:rsidRDefault="00F8201C" w:rsidP="004A4048">
            <w:pPr>
              <w:ind w:left="1646"/>
              <w:rPr>
                <w:sz w:val="16"/>
                <w:szCs w:val="16"/>
              </w:rPr>
            </w:pPr>
            <w:r w:rsidRPr="004A4048">
              <w:rPr>
                <w:sz w:val="16"/>
                <w:szCs w:val="16"/>
              </w:rPr>
              <w:t>- le niveau des candidats garçons en fonction de celui des autres garçons idem pour les filles en fonction de celui des autres filles.</w:t>
            </w:r>
          </w:p>
          <w:p w:rsidR="00F8201C" w:rsidRPr="004A4048" w:rsidRDefault="00F8201C" w:rsidP="004A4048">
            <w:pPr>
              <w:ind w:left="1646"/>
              <w:rPr>
                <w:sz w:val="16"/>
                <w:szCs w:val="16"/>
              </w:rPr>
            </w:pPr>
            <w:r w:rsidRPr="004A4048">
              <w:rPr>
                <w:sz w:val="16"/>
                <w:szCs w:val="16"/>
              </w:rPr>
              <w:t>- des registres ou des styles de jeu qui peuvent être différents (vitesse de frappes, exploitation du volume et des espaces)</w:t>
            </w:r>
          </w:p>
          <w:p w:rsidR="002E1F0B" w:rsidRPr="004A4048" w:rsidRDefault="00F8201C" w:rsidP="004A4048">
            <w:pPr>
              <w:ind w:left="1646"/>
              <w:rPr>
                <w:rFonts w:ascii="Arial" w:hAnsi="Arial" w:cs="Arial"/>
                <w:sz w:val="16"/>
                <w:szCs w:val="16"/>
              </w:rPr>
            </w:pPr>
            <w:r w:rsidRPr="004A4048">
              <w:rPr>
                <w:sz w:val="16"/>
                <w:szCs w:val="16"/>
              </w:rPr>
              <w:t>- Les appréciations et notes sont attribuées sans comparer les prestations des filles avec celles des garçons</w:t>
            </w:r>
          </w:p>
        </w:tc>
      </w:tr>
      <w:tr w:rsidR="002E1F0B" w:rsidRPr="00FF7293" w:rsidTr="0011729A">
        <w:trPr>
          <w:trHeight w:hRule="exact" w:val="339"/>
        </w:trPr>
        <w:tc>
          <w:tcPr>
            <w:tcW w:w="993" w:type="dxa"/>
            <w:vMerge w:val="restart"/>
            <w:shd w:val="clear" w:color="auto" w:fill="B8CCE4"/>
          </w:tcPr>
          <w:p w:rsidR="002E1F0B" w:rsidRPr="00B34557" w:rsidRDefault="002E1F0B" w:rsidP="001E3C44">
            <w:pPr>
              <w:spacing w:before="40" w:after="4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mallCaps/>
                <w:sz w:val="18"/>
                <w:szCs w:val="18"/>
              </w:rPr>
              <w:t>Points à affecter</w:t>
            </w:r>
          </w:p>
        </w:tc>
        <w:tc>
          <w:tcPr>
            <w:tcW w:w="2268" w:type="dxa"/>
            <w:gridSpan w:val="2"/>
            <w:vMerge w:val="restart"/>
            <w:shd w:val="clear" w:color="auto" w:fill="B8CCE4"/>
          </w:tcPr>
          <w:p w:rsidR="002E1F0B" w:rsidRPr="00B34557" w:rsidRDefault="002E1F0B" w:rsidP="001E3C44">
            <w:pPr>
              <w:keepNext/>
              <w:spacing w:before="40" w:after="40"/>
              <w:outlineLvl w:val="1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mallCaps/>
                <w:sz w:val="18"/>
                <w:szCs w:val="18"/>
              </w:rPr>
              <w:t>Eléments à évaluer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2E1F0B" w:rsidRPr="00B34557" w:rsidRDefault="002E1F0B" w:rsidP="00B91A3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>NIVEAU 4 Non acquis</w:t>
            </w:r>
            <w:r w:rsidR="00B91A36">
              <w:t xml:space="preserve"> 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:rsidR="002E1F0B" w:rsidRPr="00B34557" w:rsidRDefault="002E1F0B" w:rsidP="001E3C4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57">
              <w:rPr>
                <w:rFonts w:ascii="Arial" w:hAnsi="Arial" w:cs="Arial"/>
                <w:b/>
                <w:sz w:val="16"/>
                <w:szCs w:val="16"/>
              </w:rPr>
              <w:t>Degrés d’acquisition du NIVEAU 4</w:t>
            </w:r>
          </w:p>
        </w:tc>
      </w:tr>
      <w:tr w:rsidR="002E1F0B" w:rsidRPr="00FF7293" w:rsidTr="0011729A">
        <w:trPr>
          <w:trHeight w:val="203"/>
        </w:trPr>
        <w:tc>
          <w:tcPr>
            <w:tcW w:w="993" w:type="dxa"/>
            <w:vMerge/>
            <w:tcBorders>
              <w:bottom w:val="nil"/>
            </w:tcBorders>
            <w:shd w:val="clear" w:color="auto" w:fill="B8CCE4"/>
          </w:tcPr>
          <w:p w:rsidR="002E1F0B" w:rsidRPr="00FF7293" w:rsidRDefault="002E1F0B" w:rsidP="001E3C44">
            <w:pPr>
              <w:widowControl w:val="0"/>
              <w:suppressAutoHyphens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nil"/>
            </w:tcBorders>
            <w:shd w:val="clear" w:color="auto" w:fill="B8CCE4"/>
          </w:tcPr>
          <w:p w:rsidR="002E1F0B" w:rsidRPr="00FF7293" w:rsidRDefault="002E1F0B" w:rsidP="001E3C44">
            <w:pPr>
              <w:widowControl w:val="0"/>
              <w:suppressAutoHyphens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2E1F0B" w:rsidRPr="00F05BA3" w:rsidRDefault="002E1F0B" w:rsidP="00043CE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05BA3">
              <w:rPr>
                <w:rFonts w:ascii="Arial" w:hAnsi="Arial" w:cs="Arial"/>
                <w:b/>
                <w:sz w:val="16"/>
                <w:szCs w:val="16"/>
              </w:rPr>
              <w:t>De 0 point                                 à 9 points</w:t>
            </w:r>
            <w:r w:rsidR="00B91A36">
              <w:t xml:space="preserve">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2E1F0B" w:rsidRPr="00F05BA3" w:rsidRDefault="002E1F0B" w:rsidP="00043CE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05BA3">
              <w:rPr>
                <w:rFonts w:ascii="Arial" w:hAnsi="Arial" w:cs="Arial"/>
                <w:b/>
                <w:sz w:val="16"/>
                <w:szCs w:val="16"/>
              </w:rPr>
              <w:t>De 10 points                                    à 16 points</w:t>
            </w:r>
            <w:r w:rsidR="00B91A36">
              <w:t xml:space="preserve">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31849B"/>
          </w:tcPr>
          <w:p w:rsidR="002E1F0B" w:rsidRPr="00F05BA3" w:rsidRDefault="002E1F0B" w:rsidP="00043CE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05BA3">
              <w:rPr>
                <w:rFonts w:ascii="Arial" w:hAnsi="Arial" w:cs="Arial"/>
                <w:b/>
                <w:sz w:val="16"/>
                <w:szCs w:val="16"/>
              </w:rPr>
              <w:t>De 17 points                                              à 20 pts</w:t>
            </w:r>
            <w:r w:rsidR="00B91A36">
              <w:t xml:space="preserve"> </w:t>
            </w:r>
          </w:p>
        </w:tc>
      </w:tr>
      <w:tr w:rsidR="00B91A36" w:rsidRPr="00FF7293" w:rsidTr="0011729A">
        <w:trPr>
          <w:trHeight w:hRule="exact" w:val="4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:rsidR="00B91A36" w:rsidRPr="00B34557" w:rsidRDefault="00B91A36" w:rsidP="001E3C4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:rsidR="00B91A36" w:rsidRPr="00B91A36" w:rsidRDefault="00B91A36" w:rsidP="001E3C44">
            <w:pPr>
              <w:tabs>
                <w:tab w:val="left" w:pos="312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/>
          </w:tcPr>
          <w:p w:rsidR="00B91A36" w:rsidRDefault="00B91A36" w:rsidP="001C09BC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  <w:r w:rsidRPr="00B91A36">
              <w:rPr>
                <w:sz w:val="16"/>
                <w:szCs w:val="16"/>
              </w:rPr>
              <w:t>Pour chaque match réalisé, l’évolution du score (cas 1 à 6) détermine le nombre de pts obtenus en fonction du niveau de jeu du candidat (A, B ou C). La note globale sur 5 résulte de la moyenne des notes ainsi obtenues.</w:t>
            </w:r>
          </w:p>
          <w:p w:rsidR="00B91A36" w:rsidRDefault="00B91A36" w:rsidP="001E3C44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</w:p>
          <w:p w:rsidR="00B91A36" w:rsidRDefault="00B91A36" w:rsidP="001E3C44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</w:p>
          <w:p w:rsidR="00B91A36" w:rsidRDefault="00B91A36" w:rsidP="001E3C44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</w:p>
          <w:p w:rsidR="00B91A36" w:rsidRDefault="00B91A36" w:rsidP="001E3C44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</w:p>
          <w:p w:rsidR="00B91A36" w:rsidRDefault="00B91A36" w:rsidP="001E3C44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</w:p>
          <w:p w:rsidR="00B91A36" w:rsidRPr="00B91A36" w:rsidRDefault="00B91A36" w:rsidP="001E3C44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  <w:tr w:rsidR="00B91A36" w:rsidRPr="00FF7293" w:rsidTr="0011729A">
        <w:trPr>
          <w:trHeight w:hRule="exact" w:val="1634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B8CCE4"/>
          </w:tcPr>
          <w:p w:rsidR="00B91A36" w:rsidRDefault="00B91A36" w:rsidP="001E3C4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</w:rPr>
              <w:t>5/20</w:t>
            </w:r>
          </w:p>
          <w:p w:rsidR="00B91A36" w:rsidRPr="00B34557" w:rsidRDefault="00B91A36" w:rsidP="001C09B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B8CCE4"/>
          </w:tcPr>
          <w:p w:rsidR="00B91A36" w:rsidRPr="009B0E3D" w:rsidRDefault="00B91A36" w:rsidP="001E3C44">
            <w:pPr>
              <w:tabs>
                <w:tab w:val="left" w:pos="312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91A36">
              <w:rPr>
                <w:rFonts w:ascii="Arial" w:hAnsi="Arial" w:cs="Arial"/>
                <w:b/>
                <w:sz w:val="16"/>
                <w:szCs w:val="16"/>
              </w:rPr>
              <w:t>Efficacité des choix stratégiques et engagement dans le duel</w:t>
            </w:r>
          </w:p>
        </w:tc>
        <w:tc>
          <w:tcPr>
            <w:tcW w:w="12332" w:type="dxa"/>
            <w:gridSpan w:val="6"/>
            <w:tcBorders>
              <w:top w:val="nil"/>
              <w:bottom w:val="single" w:sz="4" w:space="0" w:color="auto"/>
            </w:tcBorders>
            <w:shd w:val="clear" w:color="auto" w:fill="92CDDC"/>
          </w:tcPr>
          <w:tbl>
            <w:tblPr>
              <w:tblW w:w="10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5387"/>
              <w:gridCol w:w="1276"/>
              <w:gridCol w:w="992"/>
              <w:gridCol w:w="1134"/>
            </w:tblGrid>
            <w:tr w:rsidR="00197944" w:rsidRPr="004A4048" w:rsidTr="004A4048">
              <w:tc>
                <w:tcPr>
                  <w:tcW w:w="6744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>
                    <w:t>Évolution du score entre les 2 sets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  <w:t>Niveau A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  <w:t>Niveau B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  <w:t>Niveau C</w:t>
                  </w:r>
                </w:p>
              </w:tc>
            </w:tr>
            <w:tr w:rsidR="00197944" w:rsidRPr="004A4048" w:rsidTr="004A4048">
              <w:tc>
                <w:tcPr>
                  <w:tcW w:w="1357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  <w:t>Cas 6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4"/>
                      <w:szCs w:val="14"/>
                    </w:rPr>
                  </w:pPr>
                  <w:r w:rsidRPr="004A4048">
                    <w:rPr>
                      <w:sz w:val="14"/>
                      <w:szCs w:val="14"/>
                    </w:rPr>
                    <w:t xml:space="preserve">Gagne les 2 sets en augmentant l’écart sur le second set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197944" w:rsidRPr="004A4048" w:rsidTr="004A4048">
              <w:tc>
                <w:tcPr>
                  <w:tcW w:w="1357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  <w:t>Cas 5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4"/>
                      <w:szCs w:val="14"/>
                    </w:rPr>
                  </w:pPr>
                  <w:r w:rsidRPr="004A4048">
                    <w:rPr>
                      <w:sz w:val="14"/>
                      <w:szCs w:val="14"/>
                    </w:rPr>
                    <w:t xml:space="preserve">Gagne les 2 sets avec dans le 2ème set un écart de pts inférieur ou égal à celui du 1er set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4,75</w:t>
                  </w:r>
                </w:p>
              </w:tc>
            </w:tr>
            <w:tr w:rsidR="00197944" w:rsidRPr="004A4048" w:rsidTr="004A4048">
              <w:tc>
                <w:tcPr>
                  <w:tcW w:w="1357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  <w:t>Cas 4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4"/>
                      <w:szCs w:val="14"/>
                    </w:rPr>
                  </w:pPr>
                  <w:r w:rsidRPr="004A4048">
                    <w:rPr>
                      <w:sz w:val="14"/>
                      <w:szCs w:val="14"/>
                    </w:rPr>
                    <w:t xml:space="preserve">Gagne le second set après avoir perdu le 1er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4,5</w:t>
                  </w:r>
                </w:p>
              </w:tc>
            </w:tr>
            <w:tr w:rsidR="00197944" w:rsidRPr="004A4048" w:rsidTr="004A4048">
              <w:tc>
                <w:tcPr>
                  <w:tcW w:w="1357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  <w:t>Cas 3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4"/>
                      <w:szCs w:val="14"/>
                    </w:rPr>
                  </w:pPr>
                  <w:r w:rsidRPr="004A4048">
                    <w:rPr>
                      <w:sz w:val="14"/>
                      <w:szCs w:val="14"/>
                    </w:rPr>
                    <w:t xml:space="preserve">Perd le second set après avoir gagné le 1er 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3CE5" w:rsidRPr="004A4048" w:rsidRDefault="001C09BC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3CE5" w:rsidRPr="004A4048" w:rsidRDefault="001C09BC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43CE5" w:rsidRPr="004A4048" w:rsidRDefault="001C09BC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4,25</w:t>
                  </w:r>
                </w:p>
              </w:tc>
            </w:tr>
            <w:tr w:rsidR="00197944" w:rsidRPr="004A4048" w:rsidTr="004A4048">
              <w:tc>
                <w:tcPr>
                  <w:tcW w:w="1357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  <w:t>Cas 2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043CE5" w:rsidRPr="004A4048" w:rsidRDefault="001C09BC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4"/>
                      <w:szCs w:val="14"/>
                    </w:rPr>
                  </w:pPr>
                  <w:r w:rsidRPr="004A4048">
                    <w:rPr>
                      <w:sz w:val="14"/>
                      <w:szCs w:val="14"/>
                    </w:rPr>
                    <w:t xml:space="preserve">Perd les 2 sets en réduisant l’écart d’au moins 2 pts sur le second set.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3CE5" w:rsidRPr="004A4048" w:rsidRDefault="001C09BC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3CE5" w:rsidRPr="004A4048" w:rsidRDefault="001C09BC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43CE5" w:rsidRPr="004A4048" w:rsidRDefault="001C09BC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197944" w:rsidRPr="004A4048" w:rsidTr="004A4048">
              <w:tc>
                <w:tcPr>
                  <w:tcW w:w="1357" w:type="dxa"/>
                  <w:shd w:val="clear" w:color="auto" w:fill="auto"/>
                </w:tcPr>
                <w:p w:rsidR="00043CE5" w:rsidRPr="004A4048" w:rsidRDefault="00043CE5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  <w:t>Cas 1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043CE5" w:rsidRPr="004A4048" w:rsidRDefault="001C09BC" w:rsidP="004A4048">
                  <w:pPr>
                    <w:widowControl w:val="0"/>
                    <w:suppressAutoHyphens/>
                    <w:autoSpaceDE w:val="0"/>
                    <w:rPr>
                      <w:rFonts w:ascii="Arial" w:hAnsi="Arial" w:cs="Arial"/>
                      <w:kern w:val="1"/>
                      <w:sz w:val="14"/>
                      <w:szCs w:val="14"/>
                    </w:rPr>
                  </w:pPr>
                  <w:r w:rsidRPr="004A4048">
                    <w:rPr>
                      <w:sz w:val="14"/>
                      <w:szCs w:val="14"/>
                    </w:rPr>
                    <w:t xml:space="preserve">Perd les 2 sets sans évolution positive du score sur le second set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3CE5" w:rsidRPr="004A4048" w:rsidRDefault="001C09BC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43CE5" w:rsidRPr="004A4048" w:rsidRDefault="001C09BC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43CE5" w:rsidRPr="004A4048" w:rsidRDefault="001C09BC" w:rsidP="004A4048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</w:pPr>
                  <w:r w:rsidRPr="004A4048">
                    <w:rPr>
                      <w:sz w:val="16"/>
                      <w:szCs w:val="16"/>
                    </w:rPr>
                    <w:t>3,5</w:t>
                  </w:r>
                </w:p>
              </w:tc>
            </w:tr>
          </w:tbl>
          <w:p w:rsidR="00B91A36" w:rsidRPr="00B91A36" w:rsidRDefault="00B91A36" w:rsidP="00B91A36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  <w:tr w:rsidR="004A4048" w:rsidRPr="00FF7293" w:rsidTr="0011729A">
        <w:trPr>
          <w:trHeight w:val="234"/>
        </w:trPr>
        <w:tc>
          <w:tcPr>
            <w:tcW w:w="993" w:type="dxa"/>
            <w:tcBorders>
              <w:bottom w:val="nil"/>
            </w:tcBorders>
            <w:shd w:val="clear" w:color="auto" w:fill="B8CCE4"/>
          </w:tcPr>
          <w:p w:rsidR="004A4048" w:rsidRPr="003646B3" w:rsidRDefault="004A4048" w:rsidP="001E3C44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B8CCE4"/>
          </w:tcPr>
          <w:p w:rsidR="004A4048" w:rsidRDefault="004A4048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92CDDC"/>
          </w:tcPr>
          <w:p w:rsidR="004A4048" w:rsidRPr="005B562D" w:rsidRDefault="004A4048" w:rsidP="004A404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0 pt à 4,75 pts : Niveau A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8DB3E2"/>
          </w:tcPr>
          <w:p w:rsidR="004A4048" w:rsidRPr="005B562D" w:rsidRDefault="004A4048" w:rsidP="004A404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5 </w:t>
            </w:r>
            <w:proofErr w:type="gramStart"/>
            <w:r>
              <w:rPr>
                <w:rFonts w:ascii="Arial" w:hAnsi="Arial" w:cs="Arial"/>
                <w:kern w:val="1"/>
                <w:sz w:val="16"/>
                <w:szCs w:val="16"/>
              </w:rPr>
              <w:t>pt</w:t>
            </w:r>
            <w:proofErr w:type="gramEnd"/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à 7.75 : Niveau B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31849B"/>
          </w:tcPr>
          <w:p w:rsidR="004A4048" w:rsidRPr="005B562D" w:rsidRDefault="004A4048" w:rsidP="004A404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8 </w:t>
            </w:r>
            <w:proofErr w:type="gramStart"/>
            <w:r>
              <w:rPr>
                <w:rFonts w:ascii="Arial" w:hAnsi="Arial" w:cs="Arial"/>
                <w:kern w:val="1"/>
                <w:sz w:val="16"/>
                <w:szCs w:val="16"/>
              </w:rPr>
              <w:t>pt</w:t>
            </w:r>
            <w:proofErr w:type="gramEnd"/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à 10 pts : Niveau C</w:t>
            </w:r>
          </w:p>
        </w:tc>
      </w:tr>
      <w:tr w:rsidR="002E1F0B" w:rsidRPr="00FF7293" w:rsidTr="0011729A">
        <w:trPr>
          <w:trHeight w:val="3347"/>
        </w:trPr>
        <w:tc>
          <w:tcPr>
            <w:tcW w:w="993" w:type="dxa"/>
            <w:tcBorders>
              <w:top w:val="nil"/>
            </w:tcBorders>
            <w:shd w:val="clear" w:color="auto" w:fill="B8CCE4"/>
          </w:tcPr>
          <w:p w:rsidR="002E1F0B" w:rsidRPr="003646B3" w:rsidRDefault="002E1F0B" w:rsidP="001E3C44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 w:rsidRPr="003646B3">
              <w:rPr>
                <w:rFonts w:ascii="Arial" w:hAnsi="Arial" w:cs="Arial"/>
                <w:b/>
                <w:kern w:val="1"/>
                <w:sz w:val="18"/>
                <w:szCs w:val="18"/>
              </w:rPr>
              <w:t>10/20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B8CCE4"/>
          </w:tcPr>
          <w:p w:rsidR="00F8201C" w:rsidRDefault="00F8201C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Tactique : projet de gain de match</w:t>
            </w:r>
          </w:p>
          <w:p w:rsidR="002E1F0B" w:rsidRPr="009B0E3D" w:rsidRDefault="002E1F0B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B0E3D">
              <w:rPr>
                <w:rFonts w:ascii="Arial" w:hAnsi="Arial" w:cs="Arial"/>
                <w:b/>
                <w:sz w:val="16"/>
                <w:szCs w:val="16"/>
              </w:rPr>
              <w:t>Qualité des techniques au service de la tactique.</w:t>
            </w:r>
          </w:p>
          <w:p w:rsidR="002E1F0B" w:rsidRDefault="002E1F0B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F0B" w:rsidRDefault="002E1F0B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F0B" w:rsidRPr="009B0E3D" w:rsidRDefault="002E1F0B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F0B" w:rsidRPr="009B0E3D" w:rsidRDefault="002E1F0B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B0E3D">
              <w:rPr>
                <w:rFonts w:ascii="Arial" w:hAnsi="Arial" w:cs="Arial"/>
                <w:b/>
                <w:sz w:val="16"/>
                <w:szCs w:val="16"/>
              </w:rPr>
              <w:t xml:space="preserve">Variété, qualité et efficacité des actions de frappes </w:t>
            </w:r>
          </w:p>
          <w:p w:rsidR="002E1F0B" w:rsidRDefault="002E1F0B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F0B" w:rsidRDefault="002E1F0B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F0B" w:rsidRPr="009B0E3D" w:rsidRDefault="002E1F0B" w:rsidP="001E3C4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F0B" w:rsidRPr="00FF7293" w:rsidRDefault="002E1F0B" w:rsidP="001E3C44">
            <w:pPr>
              <w:widowControl w:val="0"/>
              <w:suppressAutoHyphens/>
              <w:autoSpaceDE w:val="0"/>
              <w:rPr>
                <w:rFonts w:ascii="Arial" w:hAnsi="Arial" w:cs="Arial"/>
                <w:i/>
                <w:iCs/>
                <w:kern w:val="1"/>
                <w:sz w:val="16"/>
                <w:szCs w:val="16"/>
              </w:rPr>
            </w:pPr>
            <w:r w:rsidRPr="009B0E3D">
              <w:rPr>
                <w:rFonts w:ascii="Arial" w:hAnsi="Arial" w:cs="Arial"/>
                <w:b/>
                <w:sz w:val="16"/>
                <w:szCs w:val="16"/>
              </w:rPr>
              <w:t>Rapidité et équilibre des déplacements, placements et replacements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92CDDC"/>
          </w:tcPr>
          <w:p w:rsidR="002E1F0B" w:rsidRDefault="002E1F0B" w:rsidP="001E3C4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5B562D">
              <w:rPr>
                <w:rFonts w:ascii="Arial" w:hAnsi="Arial" w:cs="Arial"/>
                <w:kern w:val="1"/>
                <w:sz w:val="16"/>
                <w:szCs w:val="16"/>
              </w:rPr>
              <w:t>Filles :</w:t>
            </w:r>
          </w:p>
          <w:p w:rsidR="002E1F0B" w:rsidRDefault="002E1F0B" w:rsidP="001E3C4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Le dégagement est utilisé pour rompre l’échange : variation droite/gauche (1), mais l’adversaire sort rarement du centre du jeu.</w:t>
            </w:r>
          </w:p>
          <w:p w:rsidR="002E1F0B" w:rsidRDefault="002E1F0B" w:rsidP="001E3C4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Prise de raquette unique, index sur le manche (0.5)</w:t>
            </w:r>
          </w:p>
          <w:p w:rsidR="002E1F0B" w:rsidRDefault="002E1F0B" w:rsidP="001E3C4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Déplacements souvent courus et tardif (0.5)</w:t>
            </w:r>
          </w:p>
          <w:p w:rsidR="002E1F0B" w:rsidRDefault="002E1F0B" w:rsidP="001E3C4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Le candidat sort du jeu de face (1)</w:t>
            </w:r>
          </w:p>
          <w:p w:rsidR="002E1F0B" w:rsidRPr="005B562D" w:rsidRDefault="002E1F0B" w:rsidP="0032594D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- Le replacement est tardif, il se fait après un temps d’observation (1), au centre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92CDDC"/>
          </w:tcPr>
          <w:p w:rsidR="002E1F0B" w:rsidRDefault="002E1F0B" w:rsidP="001E3C4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5B562D">
              <w:rPr>
                <w:rFonts w:ascii="Arial" w:hAnsi="Arial" w:cs="Arial"/>
                <w:kern w:val="1"/>
                <w:sz w:val="16"/>
                <w:szCs w:val="16"/>
              </w:rPr>
              <w:t>Garçons :</w:t>
            </w:r>
          </w:p>
          <w:p w:rsidR="002E1F0B" w:rsidRDefault="002E1F0B" w:rsidP="001E3C4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La force est souvent utilisée pour rompre l’échange, envoi long (1) parfois court (0.5)</w:t>
            </w:r>
          </w:p>
          <w:p w:rsidR="002E1F0B" w:rsidRDefault="002E1F0B" w:rsidP="001E3C4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Préparation coude haut (1), rotation du corps si temps (0.5)</w:t>
            </w:r>
          </w:p>
          <w:p w:rsidR="002E1F0B" w:rsidRDefault="002E1F0B" w:rsidP="001E3C4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Les déplacements sont  rapides (0.5) mais  déséquilibrés si vers l’arrière</w:t>
            </w:r>
          </w:p>
          <w:p w:rsidR="002E1F0B" w:rsidRPr="005B562D" w:rsidRDefault="002E1F0B" w:rsidP="0032594D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Le replacement est explosif après un temps d’observation (0.5)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8DB3E2"/>
          </w:tcPr>
          <w:p w:rsidR="002E1F0B" w:rsidRDefault="002E1F0B" w:rsidP="005B562D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5B562D">
              <w:rPr>
                <w:rFonts w:ascii="Arial" w:hAnsi="Arial" w:cs="Arial"/>
                <w:kern w:val="1"/>
                <w:sz w:val="16"/>
                <w:szCs w:val="16"/>
              </w:rPr>
              <w:t>Filles :</w:t>
            </w:r>
          </w:p>
          <w:p w:rsidR="002E1F0B" w:rsidRDefault="002E1F0B" w:rsidP="005B562D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Prise de raquette adaptée au coup choisi (1), variété des coups utilisés : dégagement long (1), smash (1), amortie (1), et de la direction droite/gauche (1) pour sortir l’adversaire du centre</w:t>
            </w:r>
          </w:p>
          <w:p w:rsidR="002E1F0B" w:rsidRDefault="002E1F0B" w:rsidP="005B562D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déplacements latéraux équilibrés (1), vers l’avant (1), sous le volant (0.5) dans les phases de moindre pression</w:t>
            </w:r>
          </w:p>
          <w:p w:rsidR="002E1F0B" w:rsidRPr="005B562D" w:rsidRDefault="002E1F0B" w:rsidP="005B562D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Replacement régulier (1) mais souvent après un temps de rééquilibre.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8DB3E2"/>
          </w:tcPr>
          <w:p w:rsidR="002E1F0B" w:rsidRDefault="002E1F0B" w:rsidP="005B562D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5B562D">
              <w:rPr>
                <w:rFonts w:ascii="Arial" w:hAnsi="Arial" w:cs="Arial"/>
                <w:kern w:val="1"/>
                <w:sz w:val="16"/>
                <w:szCs w:val="16"/>
              </w:rPr>
              <w:t>Garçons :</w:t>
            </w:r>
          </w:p>
          <w:p w:rsidR="002E1F0B" w:rsidRDefault="002E1F0B" w:rsidP="00910AB2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Prise de raquette adaptée au coup choisi (1), variété des coups utilisés : dégagement long (1), smash (1), amortie (1), et de la direction droite/gauche (1) pour sortir l’adversaire du centre</w:t>
            </w:r>
          </w:p>
          <w:p w:rsidR="002E1F0B" w:rsidRDefault="002E1F0B" w:rsidP="005B562D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- Déplacements rapides, même en profondeur (1.5) dans un rapport de force équilibré. Placement systématique </w:t>
            </w:r>
            <w:proofErr w:type="spellStart"/>
            <w:r>
              <w:rPr>
                <w:rFonts w:ascii="Arial" w:hAnsi="Arial" w:cs="Arial"/>
                <w:kern w:val="1"/>
                <w:sz w:val="16"/>
                <w:szCs w:val="16"/>
              </w:rPr>
              <w:t>ss</w:t>
            </w:r>
            <w:proofErr w:type="spellEnd"/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le volant (1)</w:t>
            </w:r>
          </w:p>
          <w:p w:rsidR="002E1F0B" w:rsidRPr="005B562D" w:rsidRDefault="002E1F0B" w:rsidP="005B562D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Replacement régulier (1) mais souvent après un temps de rééquilibre.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31849B"/>
          </w:tcPr>
          <w:p w:rsidR="002E1F0B" w:rsidRDefault="002E1F0B" w:rsidP="005B562D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5B562D">
              <w:rPr>
                <w:rFonts w:ascii="Arial" w:hAnsi="Arial" w:cs="Arial"/>
                <w:kern w:val="1"/>
                <w:sz w:val="16"/>
                <w:szCs w:val="16"/>
              </w:rPr>
              <w:t>Filles :</w:t>
            </w: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</w:t>
            </w:r>
          </w:p>
          <w:p w:rsidR="002E1F0B" w:rsidRDefault="002E1F0B" w:rsidP="005B562D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-  Coups variés mais visibles </w:t>
            </w:r>
            <w:proofErr w:type="spellStart"/>
            <w:r>
              <w:rPr>
                <w:rFonts w:ascii="Arial" w:hAnsi="Arial" w:cs="Arial"/>
                <w:kern w:val="1"/>
                <w:sz w:val="16"/>
                <w:szCs w:val="16"/>
              </w:rPr>
              <w:t>pr</w:t>
            </w:r>
            <w:proofErr w:type="spellEnd"/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construire la rupture : volants pris tôt (1.5) et variété des trajectoires au cours du même échange (1.5) pour surprendre.</w:t>
            </w:r>
          </w:p>
          <w:p w:rsidR="002E1F0B" w:rsidRDefault="002E1F0B" w:rsidP="005B562D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La vitesse du volant devient un atout (1)</w:t>
            </w:r>
          </w:p>
          <w:p w:rsidR="002E1F0B" w:rsidRDefault="002E1F0B" w:rsidP="00F05BA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Les trajectoires obligent l’adversaire à défendre tout son terrain (2)</w:t>
            </w:r>
          </w:p>
          <w:p w:rsidR="002E1F0B" w:rsidRDefault="002E1F0B" w:rsidP="00F05BA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- Déplacements efficaces (2) sur tout le terrain même </w:t>
            </w:r>
            <w:proofErr w:type="spellStart"/>
            <w:r>
              <w:rPr>
                <w:rFonts w:ascii="Arial" w:hAnsi="Arial" w:cs="Arial"/>
                <w:kern w:val="1"/>
                <w:sz w:val="16"/>
                <w:szCs w:val="16"/>
              </w:rPr>
              <w:t>ss</w:t>
            </w:r>
            <w:proofErr w:type="spellEnd"/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pression.</w:t>
            </w:r>
          </w:p>
          <w:p w:rsidR="002E1F0B" w:rsidRDefault="002E1F0B" w:rsidP="00F05BA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Parvient à rétablir le déséquilibre et à renverser l’échange en sa faveur (1)</w:t>
            </w:r>
          </w:p>
          <w:p w:rsidR="002E1F0B" w:rsidRPr="005B562D" w:rsidRDefault="002E1F0B" w:rsidP="00F05BA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Le replacement est accompagné parfois  d’une anticipation du futur coup de l’</w:t>
            </w:r>
            <w:proofErr w:type="spellStart"/>
            <w:r>
              <w:rPr>
                <w:rFonts w:ascii="Arial" w:hAnsi="Arial" w:cs="Arial"/>
                <w:kern w:val="1"/>
                <w:sz w:val="16"/>
                <w:szCs w:val="16"/>
              </w:rPr>
              <w:t>adv</w:t>
            </w:r>
            <w:proofErr w:type="spellEnd"/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(1)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31849B"/>
          </w:tcPr>
          <w:p w:rsidR="002E1F0B" w:rsidRDefault="002E1F0B" w:rsidP="005B562D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 w:rsidRPr="005B562D">
              <w:rPr>
                <w:rFonts w:ascii="Arial" w:hAnsi="Arial" w:cs="Arial"/>
                <w:kern w:val="1"/>
                <w:sz w:val="16"/>
                <w:szCs w:val="16"/>
              </w:rPr>
              <w:t>Garçons :</w:t>
            </w:r>
          </w:p>
          <w:p w:rsidR="002E1F0B" w:rsidRDefault="002E1F0B" w:rsidP="00F05BA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- Coups variés mais visibles </w:t>
            </w:r>
            <w:proofErr w:type="spellStart"/>
            <w:r>
              <w:rPr>
                <w:rFonts w:ascii="Arial" w:hAnsi="Arial" w:cs="Arial"/>
                <w:kern w:val="1"/>
                <w:sz w:val="16"/>
                <w:szCs w:val="16"/>
              </w:rPr>
              <w:t>pr</w:t>
            </w:r>
            <w:proofErr w:type="spellEnd"/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construire la rupture : volants pris tôt (1.5) et variété des trajectoires au cours du même échange (1.5) pour surprendre.</w:t>
            </w:r>
          </w:p>
          <w:p w:rsidR="002E1F0B" w:rsidRDefault="002E1F0B" w:rsidP="005B562D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Quelques feintes apparaissent (1)</w:t>
            </w:r>
          </w:p>
          <w:p w:rsidR="002E1F0B" w:rsidRDefault="002E1F0B" w:rsidP="00F05BA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Les trajectoires obligent l’adversaire à défendre tout son terrain (2)</w:t>
            </w:r>
          </w:p>
          <w:p w:rsidR="002E1F0B" w:rsidRDefault="002E1F0B" w:rsidP="00F05BA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- Déplacements efficaces (2) sur tout le terrain même </w:t>
            </w:r>
            <w:proofErr w:type="spellStart"/>
            <w:r>
              <w:rPr>
                <w:rFonts w:ascii="Arial" w:hAnsi="Arial" w:cs="Arial"/>
                <w:kern w:val="1"/>
                <w:sz w:val="16"/>
                <w:szCs w:val="16"/>
              </w:rPr>
              <w:t>ss</w:t>
            </w:r>
            <w:proofErr w:type="spellEnd"/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pression.</w:t>
            </w:r>
          </w:p>
          <w:p w:rsidR="002E1F0B" w:rsidRDefault="002E1F0B" w:rsidP="00F05BA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Parvient à rétablir le déséquilibre et à renverser l’échange en sa faveur (1)</w:t>
            </w:r>
          </w:p>
          <w:p w:rsidR="002E1F0B" w:rsidRPr="005B562D" w:rsidRDefault="002E1F0B" w:rsidP="00F05BA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- Le replacement est accompagné parfois  d’une anticipation du futur coup de l’</w:t>
            </w:r>
            <w:proofErr w:type="spellStart"/>
            <w:r>
              <w:rPr>
                <w:rFonts w:ascii="Arial" w:hAnsi="Arial" w:cs="Arial"/>
                <w:kern w:val="1"/>
                <w:sz w:val="16"/>
                <w:szCs w:val="16"/>
              </w:rPr>
              <w:t>adv</w:t>
            </w:r>
            <w:proofErr w:type="spellEnd"/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(1)</w:t>
            </w:r>
          </w:p>
        </w:tc>
      </w:tr>
      <w:tr w:rsidR="002E1F0B" w:rsidRPr="00FF7293" w:rsidTr="0011729A">
        <w:trPr>
          <w:trHeight w:val="967"/>
        </w:trPr>
        <w:tc>
          <w:tcPr>
            <w:tcW w:w="993" w:type="dxa"/>
            <w:vMerge w:val="restart"/>
            <w:shd w:val="clear" w:color="auto" w:fill="B8CCE4"/>
          </w:tcPr>
          <w:p w:rsidR="002E1F0B" w:rsidRPr="00B34557" w:rsidRDefault="002E1F0B" w:rsidP="001E3C4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3455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5 /20 </w:t>
            </w:r>
          </w:p>
        </w:tc>
        <w:tc>
          <w:tcPr>
            <w:tcW w:w="992" w:type="dxa"/>
            <w:vMerge w:val="restart"/>
            <w:shd w:val="clear" w:color="auto" w:fill="B8CCE4"/>
          </w:tcPr>
          <w:p w:rsidR="002E1F0B" w:rsidRPr="009B0E3D" w:rsidRDefault="002E1F0B" w:rsidP="001E3C44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0E3D">
              <w:rPr>
                <w:rFonts w:ascii="Arial" w:hAnsi="Arial" w:cs="Arial"/>
                <w:b/>
                <w:sz w:val="16"/>
                <w:szCs w:val="16"/>
              </w:rPr>
              <w:t xml:space="preserve">Gain des rencontres </w:t>
            </w:r>
          </w:p>
        </w:tc>
        <w:tc>
          <w:tcPr>
            <w:tcW w:w="1276" w:type="dxa"/>
            <w:shd w:val="clear" w:color="auto" w:fill="B8CCE4"/>
          </w:tcPr>
          <w:p w:rsidR="002E1F0B" w:rsidRPr="009B0E3D" w:rsidRDefault="002E1F0B" w:rsidP="001E3C4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B0E3D">
              <w:rPr>
                <w:rFonts w:ascii="Arial" w:hAnsi="Arial" w:cs="Arial"/>
                <w:sz w:val="16"/>
                <w:szCs w:val="16"/>
              </w:rPr>
              <w:t>Classement par sexe au sein du groupe/classe : 3 pts</w:t>
            </w:r>
          </w:p>
        </w:tc>
        <w:tc>
          <w:tcPr>
            <w:tcW w:w="3402" w:type="dxa"/>
            <w:gridSpan w:val="2"/>
            <w:shd w:val="clear" w:color="auto" w:fill="92CDDC"/>
          </w:tcPr>
          <w:p w:rsidR="002E1F0B" w:rsidRDefault="002E1F0B" w:rsidP="001E3C4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pt                                                              1pt</w:t>
            </w:r>
          </w:p>
          <w:p w:rsidR="002E1F0B" w:rsidRPr="001D07A9" w:rsidRDefault="004A4048" w:rsidP="001E3C4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t>Les élèves classés en bas du tableau des filles ou du tableau des garçons</w:t>
            </w:r>
          </w:p>
        </w:tc>
        <w:tc>
          <w:tcPr>
            <w:tcW w:w="3827" w:type="dxa"/>
            <w:gridSpan w:val="2"/>
            <w:shd w:val="clear" w:color="auto" w:fill="8DB3E2"/>
          </w:tcPr>
          <w:p w:rsidR="002E1F0B" w:rsidRDefault="002E1F0B" w:rsidP="001E3C44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1.</w:t>
            </w:r>
            <w:r w:rsidR="004A4048">
              <w:rPr>
                <w:rFonts w:ascii="Arial" w:hAnsi="Arial" w:cs="Arial"/>
                <w:kern w:val="1"/>
                <w:sz w:val="16"/>
                <w:szCs w:val="16"/>
              </w:rPr>
              <w:t>2</w:t>
            </w:r>
            <w:r>
              <w:rPr>
                <w:rFonts w:ascii="Arial" w:hAnsi="Arial" w:cs="Arial"/>
                <w:kern w:val="1"/>
                <w:sz w:val="16"/>
                <w:szCs w:val="16"/>
              </w:rPr>
              <w:t>5 pt                                                               2 pts</w:t>
            </w:r>
          </w:p>
          <w:p w:rsidR="002E1F0B" w:rsidRPr="00FF7293" w:rsidRDefault="004A4048" w:rsidP="001E3C44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t>Les élèves classés en milieu du tableau des filles ou du tableau des garçons</w:t>
            </w:r>
          </w:p>
        </w:tc>
        <w:tc>
          <w:tcPr>
            <w:tcW w:w="5103" w:type="dxa"/>
            <w:gridSpan w:val="2"/>
            <w:shd w:val="clear" w:color="auto" w:fill="31849B"/>
          </w:tcPr>
          <w:p w:rsidR="002E1F0B" w:rsidRPr="005B562D" w:rsidRDefault="004A4048" w:rsidP="001E3C44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2.2</w:t>
            </w:r>
            <w:r w:rsidR="002E1F0B" w:rsidRPr="005B562D">
              <w:rPr>
                <w:rFonts w:ascii="Arial" w:hAnsi="Arial" w:cs="Arial"/>
                <w:kern w:val="1"/>
                <w:sz w:val="16"/>
                <w:szCs w:val="16"/>
              </w:rPr>
              <w:t xml:space="preserve">5 pts                                                                     </w:t>
            </w:r>
            <w:r w:rsidR="002E1F0B">
              <w:rPr>
                <w:rFonts w:ascii="Arial" w:hAnsi="Arial" w:cs="Arial"/>
                <w:kern w:val="1"/>
                <w:sz w:val="16"/>
                <w:szCs w:val="16"/>
              </w:rPr>
              <w:t xml:space="preserve">                 </w:t>
            </w:r>
            <w:r w:rsidR="002E1F0B" w:rsidRPr="005B562D">
              <w:rPr>
                <w:rFonts w:ascii="Arial" w:hAnsi="Arial" w:cs="Arial"/>
                <w:kern w:val="1"/>
                <w:sz w:val="16"/>
                <w:szCs w:val="16"/>
              </w:rPr>
              <w:t xml:space="preserve">  3 pts</w:t>
            </w:r>
          </w:p>
          <w:p w:rsidR="002E1F0B" w:rsidRPr="005B562D" w:rsidRDefault="004A4048" w:rsidP="001E3C44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  <w:r>
              <w:t>Les élèves classés en haut du tableau des filles ou du tableau des garçons.</w:t>
            </w:r>
          </w:p>
        </w:tc>
      </w:tr>
      <w:tr w:rsidR="002E1F0B" w:rsidRPr="00FF7293" w:rsidTr="0011729A">
        <w:trPr>
          <w:trHeight w:val="400"/>
        </w:trPr>
        <w:tc>
          <w:tcPr>
            <w:tcW w:w="993" w:type="dxa"/>
            <w:vMerge/>
            <w:shd w:val="clear" w:color="auto" w:fill="B8CCE4"/>
          </w:tcPr>
          <w:p w:rsidR="002E1F0B" w:rsidRPr="00B34557" w:rsidRDefault="002E1F0B" w:rsidP="001E3C4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B8CCE4"/>
          </w:tcPr>
          <w:p w:rsidR="002E1F0B" w:rsidRPr="00B34557" w:rsidRDefault="002E1F0B" w:rsidP="001E3C4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8CCE4"/>
          </w:tcPr>
          <w:p w:rsidR="002E1F0B" w:rsidRPr="00111237" w:rsidRDefault="002E1F0B" w:rsidP="00111237">
            <w:pPr>
              <w:spacing w:before="40" w:after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11237">
              <w:rPr>
                <w:rFonts w:ascii="Arial" w:hAnsi="Arial" w:cs="Arial"/>
                <w:sz w:val="14"/>
                <w:szCs w:val="14"/>
              </w:rPr>
              <w:t xml:space="preserve">Classement  </w:t>
            </w:r>
            <w:proofErr w:type="spellStart"/>
            <w:r w:rsidRPr="00111237">
              <w:rPr>
                <w:rFonts w:ascii="Arial" w:hAnsi="Arial" w:cs="Arial"/>
                <w:sz w:val="14"/>
                <w:szCs w:val="14"/>
              </w:rPr>
              <w:t>ds</w:t>
            </w:r>
            <w:proofErr w:type="spellEnd"/>
            <w:r w:rsidRPr="00111237">
              <w:rPr>
                <w:rFonts w:ascii="Arial" w:hAnsi="Arial" w:cs="Arial"/>
                <w:sz w:val="14"/>
                <w:szCs w:val="14"/>
              </w:rPr>
              <w:t xml:space="preserve"> chaq</w:t>
            </w:r>
            <w:r w:rsidR="004A4048">
              <w:rPr>
                <w:rFonts w:ascii="Arial" w:hAnsi="Arial" w:cs="Arial"/>
                <w:sz w:val="14"/>
                <w:szCs w:val="14"/>
              </w:rPr>
              <w:t>ue</w:t>
            </w:r>
            <w:r w:rsidRPr="00111237">
              <w:rPr>
                <w:rFonts w:ascii="Arial" w:hAnsi="Arial" w:cs="Arial"/>
                <w:sz w:val="14"/>
                <w:szCs w:val="14"/>
              </w:rPr>
              <w:t xml:space="preserve"> poule : 2 pts</w:t>
            </w:r>
          </w:p>
        </w:tc>
        <w:tc>
          <w:tcPr>
            <w:tcW w:w="12332" w:type="dxa"/>
            <w:gridSpan w:val="6"/>
            <w:shd w:val="clear" w:color="auto" w:fill="92CDDC"/>
          </w:tcPr>
          <w:p w:rsidR="002E1F0B" w:rsidRDefault="002E1F0B" w:rsidP="006C7BE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Les é</w:t>
            </w:r>
            <w:r w:rsidR="001C09BC">
              <w:rPr>
                <w:rFonts w:ascii="Arial" w:hAnsi="Arial" w:cs="Arial"/>
                <w:kern w:val="1"/>
                <w:sz w:val="16"/>
                <w:szCs w:val="16"/>
              </w:rPr>
              <w:t>lèves se voient attribués de 0</w:t>
            </w: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 à 2 pts en fonction de leurs résultats au sein de leurs poules</w:t>
            </w:r>
            <w:r w:rsidR="001C09BC" w:rsidRPr="001C09BC">
              <w:rPr>
                <w:rFonts w:ascii="Arial" w:hAnsi="Arial" w:cs="Arial"/>
                <w:kern w:val="1"/>
                <w:sz w:val="16"/>
                <w:szCs w:val="16"/>
              </w:rPr>
              <w:t xml:space="preserve"> indépendamment de son niveau de jeu</w:t>
            </w:r>
          </w:p>
          <w:p w:rsidR="001C09BC" w:rsidRPr="00FF7293" w:rsidRDefault="001C09BC" w:rsidP="001C09BC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</w:tr>
    </w:tbl>
    <w:p w:rsidR="002E1F0B" w:rsidRDefault="002E1F0B"/>
    <w:p w:rsidR="0011729A" w:rsidRDefault="0011729A">
      <w:bookmarkStart w:id="0" w:name="_GoBack"/>
      <w:bookmarkEnd w:id="0"/>
    </w:p>
    <w:sectPr w:rsidR="0011729A" w:rsidSect="001C09BC">
      <w:headerReference w:type="default" r:id="rId7"/>
      <w:pgSz w:w="16838" w:h="11906" w:orient="landscape"/>
      <w:pgMar w:top="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81" w:rsidRDefault="00E65D81" w:rsidP="00A5579F">
      <w:r>
        <w:separator/>
      </w:r>
    </w:p>
  </w:endnote>
  <w:endnote w:type="continuationSeparator" w:id="0">
    <w:p w:rsidR="00E65D81" w:rsidRDefault="00E65D81" w:rsidP="00A5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81" w:rsidRDefault="00E65D81" w:rsidP="00A5579F">
      <w:r>
        <w:separator/>
      </w:r>
    </w:p>
  </w:footnote>
  <w:footnote w:type="continuationSeparator" w:id="0">
    <w:p w:rsidR="00E65D81" w:rsidRDefault="00E65D81" w:rsidP="00A5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0B" w:rsidRPr="00A5579F" w:rsidRDefault="002E1F0B">
    <w:pPr>
      <w:pStyle w:val="En-tte"/>
      <w:rPr>
        <w:rFonts w:ascii="Calibri" w:hAnsi="Calibri" w:cs="Calibri"/>
        <w:sz w:val="20"/>
        <w:szCs w:val="20"/>
      </w:rPr>
    </w:pPr>
    <w:r w:rsidRPr="00A5579F">
      <w:rPr>
        <w:rFonts w:ascii="Calibri" w:hAnsi="Calibri" w:cs="Calibri"/>
        <w:sz w:val="20"/>
        <w:szCs w:val="20"/>
      </w:rPr>
      <w:t>L</w:t>
    </w:r>
    <w:r w:rsidR="004A4048">
      <w:rPr>
        <w:rFonts w:ascii="Calibri" w:hAnsi="Calibri" w:cs="Calibri"/>
        <w:sz w:val="20"/>
        <w:szCs w:val="20"/>
      </w:rPr>
      <w:t>y</w:t>
    </w:r>
    <w:r w:rsidRPr="00A5579F">
      <w:rPr>
        <w:rFonts w:ascii="Calibri" w:hAnsi="Calibri" w:cs="Calibri"/>
        <w:sz w:val="20"/>
        <w:szCs w:val="20"/>
      </w:rPr>
      <w:t>cée St Pierre</w:t>
    </w:r>
    <w:r w:rsidR="004A4048">
      <w:rPr>
        <w:rFonts w:ascii="Calibri" w:hAnsi="Calibri" w:cs="Calibri"/>
        <w:sz w:val="20"/>
        <w:szCs w:val="20"/>
      </w:rPr>
      <w:t xml:space="preserve"> Abbeville </w:t>
    </w:r>
    <w:r w:rsidRPr="00A5579F">
      <w:rPr>
        <w:rFonts w:ascii="Calibri" w:hAnsi="Calibri" w:cs="Calibri"/>
        <w:sz w:val="20"/>
        <w:szCs w:val="20"/>
      </w:rPr>
      <w:t xml:space="preserve"> 201</w:t>
    </w:r>
    <w:r w:rsidR="00FF4601">
      <w:rPr>
        <w:rFonts w:ascii="Calibri" w:hAnsi="Calibri" w:cs="Calibri"/>
        <w:sz w:val="20"/>
        <w:szCs w:val="20"/>
      </w:rPr>
      <w:t>7</w:t>
    </w:r>
    <w:r w:rsidRPr="00A5579F">
      <w:rPr>
        <w:rFonts w:ascii="Calibri" w:hAnsi="Calibri" w:cs="Calibri"/>
        <w:sz w:val="20"/>
        <w:szCs w:val="20"/>
      </w:rPr>
      <w:t xml:space="preserve"> - 201</w:t>
    </w:r>
    <w:r w:rsidR="00FF4601">
      <w:rPr>
        <w:rFonts w:ascii="Calibri" w:hAnsi="Calibri" w:cs="Calibri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79F"/>
    <w:rsid w:val="00043CE5"/>
    <w:rsid w:val="00047E26"/>
    <w:rsid w:val="00111237"/>
    <w:rsid w:val="0011729A"/>
    <w:rsid w:val="00197944"/>
    <w:rsid w:val="001C09BC"/>
    <w:rsid w:val="001D07A9"/>
    <w:rsid w:val="001E3C44"/>
    <w:rsid w:val="002262DB"/>
    <w:rsid w:val="002E1F0B"/>
    <w:rsid w:val="002F7825"/>
    <w:rsid w:val="0030116D"/>
    <w:rsid w:val="0032594D"/>
    <w:rsid w:val="003646B3"/>
    <w:rsid w:val="00386BFA"/>
    <w:rsid w:val="004912BA"/>
    <w:rsid w:val="004A4048"/>
    <w:rsid w:val="004D3473"/>
    <w:rsid w:val="00521333"/>
    <w:rsid w:val="005406D2"/>
    <w:rsid w:val="00556078"/>
    <w:rsid w:val="005B562D"/>
    <w:rsid w:val="005F09E5"/>
    <w:rsid w:val="00672D22"/>
    <w:rsid w:val="006C7BE7"/>
    <w:rsid w:val="00734A32"/>
    <w:rsid w:val="008755E3"/>
    <w:rsid w:val="008F33D9"/>
    <w:rsid w:val="00910AB2"/>
    <w:rsid w:val="009A41EA"/>
    <w:rsid w:val="009B0E3D"/>
    <w:rsid w:val="009C1599"/>
    <w:rsid w:val="00A519DE"/>
    <w:rsid w:val="00A5579F"/>
    <w:rsid w:val="00A60737"/>
    <w:rsid w:val="00B34557"/>
    <w:rsid w:val="00B91A36"/>
    <w:rsid w:val="00DA6401"/>
    <w:rsid w:val="00E21E17"/>
    <w:rsid w:val="00E65D81"/>
    <w:rsid w:val="00EB5AF8"/>
    <w:rsid w:val="00EE45C8"/>
    <w:rsid w:val="00EF78F5"/>
    <w:rsid w:val="00F05BA3"/>
    <w:rsid w:val="00F8201C"/>
    <w:rsid w:val="00FF4601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9F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5579F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A5579F"/>
    <w:pPr>
      <w:keepNext/>
      <w:jc w:val="center"/>
      <w:outlineLvl w:val="2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5579F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link w:val="Titre3"/>
    <w:uiPriority w:val="99"/>
    <w:locked/>
    <w:rsid w:val="00A5579F"/>
    <w:rPr>
      <w:rFonts w:ascii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A5579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5579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A557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A5579F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55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5579F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locked/>
    <w:rsid w:val="0004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samsung</cp:lastModifiedBy>
  <cp:revision>3</cp:revision>
  <dcterms:created xsi:type="dcterms:W3CDTF">2017-09-28T08:30:00Z</dcterms:created>
  <dcterms:modified xsi:type="dcterms:W3CDTF">2017-10-02T16:14:00Z</dcterms:modified>
</cp:coreProperties>
</file>